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7" w:rsidRDefault="00A17AC2">
      <w:pPr>
        <w:pStyle w:val="Title"/>
        <w:jc w:val="left"/>
        <w:rPr>
          <w:rFonts w:ascii="Albertus Extra Bold" w:hAnsi="Albertus Extra Bold"/>
          <w:sz w:val="22"/>
        </w:rPr>
      </w:pPr>
      <w:r>
        <w:rPr>
          <w:rFonts w:ascii="Albertus Extra Bold" w:hAnsi="Albertus Extra Bold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-403860</wp:posOffset>
            </wp:positionV>
            <wp:extent cx="1856105" cy="631190"/>
            <wp:effectExtent l="19050" t="0" r="0" b="0"/>
            <wp:wrapTopAndBottom/>
            <wp:docPr id="2" name="Picture 2" descr="ptd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dl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1A7">
        <w:rPr>
          <w:rFonts w:ascii="Albertus Extra Bold" w:hAnsi="Albertus Extra Bold"/>
          <w:sz w:val="22"/>
        </w:rPr>
        <w:t>Patent and Trademark Depository Library Association</w:t>
      </w:r>
    </w:p>
    <w:p w:rsidR="00B021A7" w:rsidRDefault="00B979E7">
      <w:pPr>
        <w:pStyle w:val="Title"/>
        <w:jc w:val="left"/>
      </w:pPr>
      <w:r w:rsidRPr="00B979E7">
        <w:rPr>
          <w:noProof/>
          <w:sz w:val="20"/>
        </w:rPr>
        <w:pict>
          <v:line id="_x0000_s1027" style="position:absolute;z-index:251657728" from="0,13.25pt" to="495pt,13.25pt" strokecolor="#36f" strokeweight="4.5pt"/>
        </w:pict>
      </w:r>
    </w:p>
    <w:p w:rsidR="00016F5B" w:rsidRDefault="00016F5B">
      <w:pPr>
        <w:pStyle w:val="Subtitle"/>
        <w:spacing w:line="240" w:lineRule="auto"/>
        <w:rPr>
          <w:sz w:val="28"/>
          <w:szCs w:val="28"/>
        </w:rPr>
      </w:pPr>
    </w:p>
    <w:p w:rsidR="00A17AC2" w:rsidRDefault="00A17AC2">
      <w:pPr>
        <w:pStyle w:val="Subtitle"/>
        <w:spacing w:line="240" w:lineRule="auto"/>
        <w:rPr>
          <w:sz w:val="28"/>
          <w:szCs w:val="28"/>
        </w:rPr>
      </w:pPr>
    </w:p>
    <w:p w:rsidR="00B021A7" w:rsidRDefault="00B021A7">
      <w:pPr>
        <w:pStyle w:val="Subtitl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Executive Committee Resolution</w:t>
      </w:r>
    </w:p>
    <w:p w:rsidR="00B021A7" w:rsidRDefault="00B021A7">
      <w:pPr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8"/>
          <w:szCs w:val="28"/>
        </w:rPr>
        <w:t>Recognizing</w:t>
      </w:r>
    </w:p>
    <w:p w:rsidR="00B021A7" w:rsidRDefault="00104AAF">
      <w:pPr>
        <w:pStyle w:val="Heading1"/>
        <w:spacing w:before="120" w:after="120"/>
        <w:rPr>
          <w:sz w:val="40"/>
          <w:szCs w:val="40"/>
        </w:rPr>
      </w:pPr>
      <w:r>
        <w:rPr>
          <w:sz w:val="40"/>
          <w:szCs w:val="40"/>
        </w:rPr>
        <w:t>Bill Schilling</w:t>
      </w:r>
      <w:r w:rsidR="00B021A7">
        <w:rPr>
          <w:sz w:val="40"/>
          <w:szCs w:val="40"/>
        </w:rPr>
        <w:t xml:space="preserve"> </w:t>
      </w:r>
    </w:p>
    <w:p w:rsidR="00016F5B" w:rsidRPr="00016F5B" w:rsidRDefault="00016F5B" w:rsidP="00016F5B"/>
    <w:p w:rsidR="00A56CF0" w:rsidRPr="00A56CF0" w:rsidRDefault="00A56CF0" w:rsidP="00794949">
      <w:pPr>
        <w:rPr>
          <w:rFonts w:ascii="Chaucer" w:hAnsi="Chaucer"/>
          <w:b/>
          <w:bCs/>
          <w:color w:val="851434"/>
        </w:rPr>
      </w:pPr>
    </w:p>
    <w:p w:rsidR="00245239" w:rsidRPr="00245239" w:rsidRDefault="00B021A7" w:rsidP="00245239">
      <w:pPr>
        <w:rPr>
          <w:rFonts w:ascii="Garamond" w:hAnsi="Garamond"/>
        </w:rPr>
      </w:pPr>
      <w:r>
        <w:rPr>
          <w:rFonts w:ascii="Chaucer" w:hAnsi="Chaucer"/>
          <w:b/>
          <w:bCs/>
          <w:color w:val="851434"/>
          <w:sz w:val="28"/>
          <w:szCs w:val="17"/>
        </w:rPr>
        <w:t>Whereas,</w:t>
      </w:r>
      <w:r>
        <w:rPr>
          <w:rFonts w:ascii="Garamond" w:hAnsi="Garamond"/>
          <w:sz w:val="25"/>
          <w:szCs w:val="17"/>
        </w:rPr>
        <w:t xml:space="preserve"> </w:t>
      </w:r>
      <w:r w:rsidR="0024653D">
        <w:rPr>
          <w:rFonts w:ascii="Garamond" w:hAnsi="Garamond"/>
        </w:rPr>
        <w:t>Bill</w:t>
      </w:r>
      <w:r w:rsidR="002C23E9" w:rsidRPr="002C23E9">
        <w:rPr>
          <w:rFonts w:ascii="Garamond" w:hAnsi="Garamond"/>
        </w:rPr>
        <w:t xml:space="preserve"> has served with distinction as the Patent</w:t>
      </w:r>
      <w:r w:rsidR="0024653D">
        <w:rPr>
          <w:rFonts w:ascii="Garamond" w:hAnsi="Garamond"/>
        </w:rPr>
        <w:t xml:space="preserve"> and Trademark Depository</w:t>
      </w:r>
      <w:r w:rsidR="002C23E9" w:rsidRPr="002C23E9">
        <w:rPr>
          <w:rFonts w:ascii="Garamond" w:hAnsi="Garamond"/>
        </w:rPr>
        <w:t xml:space="preserve"> Library Program </w:t>
      </w:r>
      <w:r w:rsidR="0024653D">
        <w:rPr>
          <w:rFonts w:ascii="Garamond" w:hAnsi="Garamond"/>
        </w:rPr>
        <w:t>Representative</w:t>
      </w:r>
      <w:r w:rsidR="002C23E9" w:rsidRPr="002C23E9">
        <w:rPr>
          <w:rFonts w:ascii="Garamond" w:hAnsi="Garamond"/>
        </w:rPr>
        <w:t xml:space="preserve"> at the </w:t>
      </w:r>
      <w:r w:rsidR="0024653D">
        <w:rPr>
          <w:rFonts w:ascii="Garamond" w:hAnsi="Garamond"/>
        </w:rPr>
        <w:t>New York</w:t>
      </w:r>
      <w:r w:rsidR="002C23E9" w:rsidRPr="002C23E9">
        <w:rPr>
          <w:rFonts w:ascii="Garamond" w:hAnsi="Garamond"/>
        </w:rPr>
        <w:t xml:space="preserve"> State Library</w:t>
      </w:r>
      <w:r w:rsidR="00B00B71">
        <w:rPr>
          <w:rFonts w:ascii="Garamond" w:hAnsi="Garamond"/>
        </w:rPr>
        <w:t xml:space="preserve"> from </w:t>
      </w:r>
      <w:r w:rsidR="00B00B71" w:rsidRPr="00B00B71">
        <w:rPr>
          <w:rFonts w:ascii="Garamond" w:hAnsi="Garamond"/>
        </w:rPr>
        <w:t>October 2001 until h</w:t>
      </w:r>
      <w:r w:rsidR="00B00B71">
        <w:rPr>
          <w:rFonts w:ascii="Garamond" w:hAnsi="Garamond"/>
        </w:rPr>
        <w:t>is</w:t>
      </w:r>
      <w:r w:rsidR="00B00B71" w:rsidRPr="00B00B71">
        <w:rPr>
          <w:rFonts w:ascii="Garamond" w:hAnsi="Garamond"/>
        </w:rPr>
        <w:t xml:space="preserve"> retire</w:t>
      </w:r>
      <w:r w:rsidR="00B00B71">
        <w:rPr>
          <w:rFonts w:ascii="Garamond" w:hAnsi="Garamond"/>
        </w:rPr>
        <w:t>ment</w:t>
      </w:r>
      <w:r w:rsidR="00B00B71" w:rsidRPr="00B00B71">
        <w:rPr>
          <w:rFonts w:ascii="Garamond" w:hAnsi="Garamond"/>
        </w:rPr>
        <w:t xml:space="preserve"> in March 2011</w:t>
      </w:r>
      <w:r w:rsidR="00612C48">
        <w:rPr>
          <w:rFonts w:ascii="Garamond" w:hAnsi="Garamond"/>
        </w:rPr>
        <w:t>;</w:t>
      </w:r>
    </w:p>
    <w:p w:rsidR="000B6AEE" w:rsidRPr="000B6AEE" w:rsidRDefault="000B6AEE" w:rsidP="000B6AEE">
      <w:pPr>
        <w:rPr>
          <w:rFonts w:ascii="Chaucer" w:hAnsi="Chaucer"/>
          <w:b/>
          <w:bCs/>
          <w:color w:val="851434"/>
        </w:rPr>
      </w:pPr>
    </w:p>
    <w:p w:rsidR="0070363E" w:rsidRPr="0070363E" w:rsidRDefault="000B6AEE" w:rsidP="0070363E">
      <w:pPr>
        <w:rPr>
          <w:rFonts w:ascii="Garamond" w:hAnsi="Garamond"/>
        </w:rPr>
      </w:pPr>
      <w:r>
        <w:rPr>
          <w:rFonts w:ascii="Chaucer" w:hAnsi="Chaucer"/>
          <w:b/>
          <w:bCs/>
          <w:color w:val="851434"/>
          <w:sz w:val="28"/>
          <w:szCs w:val="17"/>
        </w:rPr>
        <w:t>Whereas</w:t>
      </w:r>
      <w:r w:rsidRPr="00794949">
        <w:rPr>
          <w:rFonts w:ascii="Chaucer" w:hAnsi="Chaucer"/>
          <w:bCs/>
          <w:color w:val="851434"/>
          <w:sz w:val="28"/>
          <w:szCs w:val="17"/>
        </w:rPr>
        <w:t>,</w:t>
      </w:r>
      <w:r w:rsidRPr="00794949">
        <w:rPr>
          <w:rFonts w:ascii="Garamond" w:hAnsi="Garamond"/>
          <w:sz w:val="25"/>
          <w:szCs w:val="17"/>
        </w:rPr>
        <w:t xml:space="preserve"> </w:t>
      </w:r>
      <w:r w:rsidR="0024653D">
        <w:rPr>
          <w:rFonts w:ascii="Garamond" w:hAnsi="Garamond"/>
        </w:rPr>
        <w:t>Bill</w:t>
      </w:r>
      <w:r w:rsidR="002C23E9" w:rsidRPr="002C23E9">
        <w:rPr>
          <w:rFonts w:ascii="Garamond" w:hAnsi="Garamond"/>
        </w:rPr>
        <w:t xml:space="preserve"> has served </w:t>
      </w:r>
      <w:r w:rsidR="0024653D">
        <w:rPr>
          <w:rFonts w:ascii="Garamond" w:hAnsi="Garamond"/>
        </w:rPr>
        <w:t xml:space="preserve">on the Archives, </w:t>
      </w:r>
      <w:r w:rsidR="0024653D" w:rsidRPr="0024653D">
        <w:rPr>
          <w:rFonts w:ascii="Garamond" w:hAnsi="Garamond"/>
        </w:rPr>
        <w:t>Database</w:t>
      </w:r>
      <w:r w:rsidR="0024653D">
        <w:rPr>
          <w:rFonts w:ascii="Garamond" w:hAnsi="Garamond"/>
        </w:rPr>
        <w:t>, and Program &amp; Outreach</w:t>
      </w:r>
      <w:r w:rsidR="0024653D" w:rsidRPr="0024653D">
        <w:rPr>
          <w:rFonts w:ascii="Garamond" w:hAnsi="Garamond"/>
        </w:rPr>
        <w:t xml:space="preserve"> Committee</w:t>
      </w:r>
      <w:r w:rsidR="0024653D">
        <w:rPr>
          <w:rFonts w:ascii="Garamond" w:hAnsi="Garamond"/>
        </w:rPr>
        <w:t>s of the Patent and Trademark Depository Library Association,</w:t>
      </w:r>
      <w:r w:rsidR="00E42B41">
        <w:rPr>
          <w:rFonts w:ascii="Garamond" w:hAnsi="Garamond"/>
        </w:rPr>
        <w:t xml:space="preserve"> and </w:t>
      </w:r>
      <w:r w:rsidR="00E42B41" w:rsidRPr="00E42B41">
        <w:rPr>
          <w:rFonts w:ascii="Garamond" w:hAnsi="Garamond"/>
        </w:rPr>
        <w:t>was instrumental in getting some of the restored pre</w:t>
      </w:r>
      <w:r w:rsidR="00E42B41">
        <w:rPr>
          <w:rFonts w:ascii="Garamond" w:hAnsi="Garamond"/>
        </w:rPr>
        <w:t>-</w:t>
      </w:r>
      <w:r w:rsidR="00E42B41" w:rsidRPr="00E42B41">
        <w:rPr>
          <w:rFonts w:ascii="Garamond" w:hAnsi="Garamond"/>
        </w:rPr>
        <w:t>1836 pate</w:t>
      </w:r>
      <w:r w:rsidR="00612C48">
        <w:rPr>
          <w:rFonts w:ascii="Garamond" w:hAnsi="Garamond"/>
        </w:rPr>
        <w:t>nts added to the PATFT database;</w:t>
      </w:r>
    </w:p>
    <w:p w:rsidR="001A1DB9" w:rsidRDefault="001A1DB9" w:rsidP="001A1DB9">
      <w:pPr>
        <w:rPr>
          <w:rFonts w:ascii="Garamond" w:hAnsi="Garamond"/>
        </w:rPr>
      </w:pPr>
    </w:p>
    <w:p w:rsidR="0070363E" w:rsidRPr="0070363E" w:rsidRDefault="00B021A7" w:rsidP="00A17AC2">
      <w:pPr>
        <w:rPr>
          <w:rFonts w:ascii="Garamond" w:hAnsi="Garamond"/>
        </w:rPr>
      </w:pPr>
      <w:r>
        <w:rPr>
          <w:rFonts w:ascii="Chaucer" w:hAnsi="Chaucer"/>
          <w:b/>
          <w:bCs/>
          <w:color w:val="851434"/>
          <w:sz w:val="28"/>
          <w:szCs w:val="17"/>
        </w:rPr>
        <w:t>Whereas,</w:t>
      </w:r>
      <w:r>
        <w:rPr>
          <w:rFonts w:ascii="Garamond" w:hAnsi="Garamond"/>
          <w:sz w:val="25"/>
          <w:szCs w:val="17"/>
        </w:rPr>
        <w:t xml:space="preserve"> </w:t>
      </w:r>
      <w:r w:rsidR="0024653D">
        <w:rPr>
          <w:rFonts w:ascii="Garamond" w:hAnsi="Garamond"/>
        </w:rPr>
        <w:t>Bill has</w:t>
      </w:r>
      <w:r w:rsidR="002C23E9" w:rsidRPr="002C23E9">
        <w:rPr>
          <w:rFonts w:ascii="Garamond" w:hAnsi="Garamond"/>
        </w:rPr>
        <w:t xml:space="preserve"> </w:t>
      </w:r>
      <w:r w:rsidR="0024653D">
        <w:rPr>
          <w:rFonts w:ascii="Garamond" w:hAnsi="Garamond"/>
        </w:rPr>
        <w:t xml:space="preserve">presented on behalf of the PTDLA at American Library Association </w:t>
      </w:r>
      <w:r w:rsidR="006E3846">
        <w:rPr>
          <w:rFonts w:ascii="Garamond" w:hAnsi="Garamond"/>
        </w:rPr>
        <w:t xml:space="preserve">and New York Library Association </w:t>
      </w:r>
      <w:r w:rsidR="00DD5D97">
        <w:rPr>
          <w:rFonts w:ascii="Garamond" w:hAnsi="Garamond"/>
        </w:rPr>
        <w:t>conferences, promoting</w:t>
      </w:r>
      <w:r w:rsidR="0024653D">
        <w:rPr>
          <w:rFonts w:ascii="Garamond" w:hAnsi="Garamond"/>
        </w:rPr>
        <w:t xml:space="preserve"> PTDL</w:t>
      </w:r>
      <w:r w:rsidR="006E3846">
        <w:rPr>
          <w:rFonts w:ascii="Garamond" w:hAnsi="Garamond"/>
        </w:rPr>
        <w:t>s</w:t>
      </w:r>
      <w:r w:rsidR="0024653D">
        <w:rPr>
          <w:rFonts w:ascii="Garamond" w:hAnsi="Garamond"/>
        </w:rPr>
        <w:t xml:space="preserve"> and regional resource sharing</w:t>
      </w:r>
      <w:r w:rsidR="00612C48">
        <w:rPr>
          <w:rFonts w:ascii="Garamond" w:hAnsi="Garamond"/>
        </w:rPr>
        <w:t>;</w:t>
      </w:r>
    </w:p>
    <w:p w:rsidR="009335F2" w:rsidRDefault="009335F2" w:rsidP="001A1DB9">
      <w:pPr>
        <w:rPr>
          <w:rFonts w:ascii="Garamond" w:hAnsi="Garamond"/>
        </w:rPr>
      </w:pPr>
    </w:p>
    <w:p w:rsidR="002C23E9" w:rsidRPr="0070363E" w:rsidRDefault="002C23E9" w:rsidP="002C23E9">
      <w:pPr>
        <w:rPr>
          <w:rFonts w:ascii="Garamond" w:hAnsi="Garamond"/>
        </w:rPr>
      </w:pPr>
      <w:r>
        <w:rPr>
          <w:rFonts w:ascii="Chaucer" w:hAnsi="Chaucer"/>
          <w:b/>
          <w:bCs/>
          <w:color w:val="851434"/>
          <w:sz w:val="28"/>
          <w:szCs w:val="17"/>
        </w:rPr>
        <w:t>Whereas,</w:t>
      </w:r>
      <w:r>
        <w:rPr>
          <w:rFonts w:ascii="Garamond" w:hAnsi="Garamond"/>
          <w:sz w:val="25"/>
          <w:szCs w:val="17"/>
        </w:rPr>
        <w:t xml:space="preserve"> </w:t>
      </w:r>
      <w:r w:rsidR="006E3846">
        <w:rPr>
          <w:rFonts w:ascii="Garamond" w:hAnsi="Garamond"/>
        </w:rPr>
        <w:t>Bill has worked tirelessly building relationships with and delivering presentations to local public libraries in New York on behalf of the PTDLP</w:t>
      </w:r>
      <w:r w:rsidR="00612C48">
        <w:rPr>
          <w:rFonts w:ascii="Garamond" w:hAnsi="Garamond"/>
        </w:rPr>
        <w:t>;</w:t>
      </w:r>
    </w:p>
    <w:p w:rsidR="002C23E9" w:rsidRDefault="002C23E9" w:rsidP="001A1DB9">
      <w:pPr>
        <w:rPr>
          <w:rFonts w:ascii="Garamond" w:hAnsi="Garamond"/>
        </w:rPr>
      </w:pPr>
    </w:p>
    <w:p w:rsidR="006E3846" w:rsidRPr="0070363E" w:rsidRDefault="006E3846" w:rsidP="006E3846">
      <w:pPr>
        <w:rPr>
          <w:rFonts w:ascii="Garamond" w:hAnsi="Garamond"/>
        </w:rPr>
      </w:pPr>
      <w:r>
        <w:rPr>
          <w:rFonts w:ascii="Chaucer" w:hAnsi="Chaucer"/>
          <w:b/>
          <w:bCs/>
          <w:color w:val="851434"/>
          <w:sz w:val="28"/>
          <w:szCs w:val="17"/>
        </w:rPr>
        <w:t>Whereas,</w:t>
      </w:r>
      <w:r>
        <w:rPr>
          <w:rFonts w:ascii="Garamond" w:hAnsi="Garamond"/>
          <w:sz w:val="25"/>
          <w:szCs w:val="17"/>
        </w:rPr>
        <w:t xml:space="preserve"> </w:t>
      </w:r>
      <w:r>
        <w:rPr>
          <w:rFonts w:ascii="Garamond" w:hAnsi="Garamond"/>
        </w:rPr>
        <w:t>Bill has collaborated with the New York State legal establishment to organize and deliver accredited Continuing Legal Education (CLE) using training materials based on PTDLP seminars and PTDLP road shows</w:t>
      </w:r>
      <w:r w:rsidR="00612C48">
        <w:rPr>
          <w:rFonts w:ascii="Garamond" w:hAnsi="Garamond"/>
        </w:rPr>
        <w:t>;</w:t>
      </w:r>
    </w:p>
    <w:p w:rsidR="006E3846" w:rsidRDefault="006E3846" w:rsidP="0070363E">
      <w:pPr>
        <w:rPr>
          <w:rFonts w:ascii="Chaucer" w:hAnsi="Chaucer"/>
          <w:b/>
          <w:bCs/>
          <w:color w:val="851434"/>
          <w:sz w:val="28"/>
          <w:szCs w:val="17"/>
        </w:rPr>
      </w:pPr>
    </w:p>
    <w:p w:rsidR="0070363E" w:rsidRPr="0070363E" w:rsidRDefault="00B021A7" w:rsidP="0070363E">
      <w:pPr>
        <w:rPr>
          <w:rFonts w:ascii="Garamond" w:hAnsi="Garamond"/>
        </w:rPr>
      </w:pPr>
      <w:r>
        <w:rPr>
          <w:rFonts w:ascii="Chaucer" w:hAnsi="Chaucer"/>
          <w:b/>
          <w:bCs/>
          <w:color w:val="851434"/>
          <w:sz w:val="28"/>
          <w:szCs w:val="17"/>
        </w:rPr>
        <w:t>Be it resolved</w:t>
      </w:r>
      <w:r>
        <w:rPr>
          <w:rFonts w:ascii="Garamond" w:hAnsi="Garamond"/>
          <w:sz w:val="25"/>
          <w:szCs w:val="17"/>
        </w:rPr>
        <w:t xml:space="preserve"> </w:t>
      </w:r>
      <w:r w:rsidR="002C23E9" w:rsidRPr="002C23E9">
        <w:rPr>
          <w:rFonts w:ascii="Garamond" w:hAnsi="Garamond"/>
        </w:rPr>
        <w:t xml:space="preserve">that the Patent and Trademark Depository Library Association recognizes and honors </w:t>
      </w:r>
      <w:r w:rsidR="004B384F">
        <w:rPr>
          <w:rFonts w:ascii="Garamond" w:hAnsi="Garamond"/>
        </w:rPr>
        <w:t>Bill Schilling</w:t>
      </w:r>
      <w:r w:rsidR="002C23E9" w:rsidRPr="002C23E9">
        <w:rPr>
          <w:rFonts w:ascii="Garamond" w:hAnsi="Garamond"/>
        </w:rPr>
        <w:t xml:space="preserve"> for </w:t>
      </w:r>
      <w:r w:rsidR="004B384F">
        <w:rPr>
          <w:rFonts w:ascii="Garamond" w:hAnsi="Garamond"/>
        </w:rPr>
        <w:t>his</w:t>
      </w:r>
      <w:r w:rsidR="002C23E9" w:rsidRPr="002C23E9">
        <w:rPr>
          <w:rFonts w:ascii="Garamond" w:hAnsi="Garamond"/>
        </w:rPr>
        <w:t xml:space="preserve"> leadership and commitment to making patent and trademark information available to the public, and for the many contributions that </w:t>
      </w:r>
      <w:r w:rsidR="004B384F">
        <w:rPr>
          <w:rFonts w:ascii="Garamond" w:hAnsi="Garamond"/>
        </w:rPr>
        <w:t>he</w:t>
      </w:r>
      <w:r w:rsidR="002C23E9" w:rsidRPr="002C23E9">
        <w:rPr>
          <w:rFonts w:ascii="Garamond" w:hAnsi="Garamond"/>
        </w:rPr>
        <w:t xml:space="preserve"> has made to both the Patent and Trademark Depository Library Program and the United States Patent and Trademark Office</w:t>
      </w:r>
      <w:r w:rsidR="0070363E" w:rsidRPr="0070363E">
        <w:rPr>
          <w:rFonts w:ascii="Garamond" w:hAnsi="Garamond"/>
        </w:rPr>
        <w:t>.</w:t>
      </w:r>
    </w:p>
    <w:p w:rsidR="00B021A7" w:rsidRDefault="00B021A7" w:rsidP="001A1DB9">
      <w:pPr>
        <w:autoSpaceDE w:val="0"/>
        <w:autoSpaceDN w:val="0"/>
        <w:adjustRightInd w:val="0"/>
        <w:spacing w:after="200"/>
        <w:rPr>
          <w:rFonts w:ascii="Garamond" w:hAnsi="Garamond"/>
        </w:rPr>
      </w:pPr>
    </w:p>
    <w:p w:rsidR="00B021A7" w:rsidRDefault="00B021A7">
      <w:pPr>
        <w:rPr>
          <w:rFonts w:ascii="Garamond" w:hAnsi="Garamond"/>
        </w:rPr>
      </w:pPr>
    </w:p>
    <w:p w:rsidR="00B021A7" w:rsidRDefault="00B021A7" w:rsidP="0070363E">
      <w:pPr>
        <w:rPr>
          <w:rFonts w:ascii="Garamond" w:hAnsi="Garamond"/>
        </w:rPr>
      </w:pPr>
      <w:r>
        <w:rPr>
          <w:rFonts w:ascii="Garamond" w:hAnsi="Garamond"/>
        </w:rPr>
        <w:t xml:space="preserve">Signed, </w:t>
      </w:r>
    </w:p>
    <w:p w:rsidR="00B021A7" w:rsidRDefault="00B021A7" w:rsidP="0070363E">
      <w:pPr>
        <w:pStyle w:val="Heading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PTDLA Executive Committee</w:t>
      </w:r>
    </w:p>
    <w:p w:rsidR="00B021A7" w:rsidRDefault="002C23E9" w:rsidP="0070363E">
      <w:pPr>
        <w:pStyle w:val="Heading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April</w:t>
      </w:r>
      <w:r w:rsidR="0070363E">
        <w:rPr>
          <w:b w:val="0"/>
          <w:bCs w:val="0"/>
          <w:sz w:val="24"/>
          <w:szCs w:val="24"/>
        </w:rPr>
        <w:t>, 20</w:t>
      </w:r>
      <w:r w:rsidR="00A17AC2">
        <w:rPr>
          <w:b w:val="0"/>
          <w:bCs w:val="0"/>
          <w:sz w:val="24"/>
          <w:szCs w:val="24"/>
        </w:rPr>
        <w:t>1</w:t>
      </w:r>
      <w:r w:rsidR="004B384F">
        <w:rPr>
          <w:b w:val="0"/>
          <w:bCs w:val="0"/>
          <w:sz w:val="24"/>
          <w:szCs w:val="24"/>
        </w:rPr>
        <w:t>1</w:t>
      </w:r>
    </w:p>
    <w:sectPr w:rsidR="00B021A7" w:rsidSect="002D7489">
      <w:pgSz w:w="12240" w:h="15840"/>
      <w:pgMar w:top="1440" w:right="1080" w:bottom="907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200A6"/>
    <w:rsid w:val="00016F5B"/>
    <w:rsid w:val="000754EA"/>
    <w:rsid w:val="000B6AEE"/>
    <w:rsid w:val="000D3780"/>
    <w:rsid w:val="00104AAF"/>
    <w:rsid w:val="001A1DB9"/>
    <w:rsid w:val="00211D8E"/>
    <w:rsid w:val="00220732"/>
    <w:rsid w:val="00245239"/>
    <w:rsid w:val="0024653D"/>
    <w:rsid w:val="00256F0C"/>
    <w:rsid w:val="0029606A"/>
    <w:rsid w:val="002C23E9"/>
    <w:rsid w:val="002D7489"/>
    <w:rsid w:val="00306EAC"/>
    <w:rsid w:val="00323925"/>
    <w:rsid w:val="00470C9B"/>
    <w:rsid w:val="004B384F"/>
    <w:rsid w:val="004C64A1"/>
    <w:rsid w:val="005B229B"/>
    <w:rsid w:val="00612C48"/>
    <w:rsid w:val="006176FB"/>
    <w:rsid w:val="0063656C"/>
    <w:rsid w:val="006724F1"/>
    <w:rsid w:val="0068192C"/>
    <w:rsid w:val="006D7AF8"/>
    <w:rsid w:val="006E3846"/>
    <w:rsid w:val="0070363E"/>
    <w:rsid w:val="00723A47"/>
    <w:rsid w:val="00794949"/>
    <w:rsid w:val="00821E62"/>
    <w:rsid w:val="00837856"/>
    <w:rsid w:val="008553A0"/>
    <w:rsid w:val="009200A6"/>
    <w:rsid w:val="009335F2"/>
    <w:rsid w:val="00957740"/>
    <w:rsid w:val="009941E4"/>
    <w:rsid w:val="00A17AC2"/>
    <w:rsid w:val="00A56CF0"/>
    <w:rsid w:val="00AE5C7B"/>
    <w:rsid w:val="00B00B71"/>
    <w:rsid w:val="00B021A7"/>
    <w:rsid w:val="00B412BD"/>
    <w:rsid w:val="00B60B1E"/>
    <w:rsid w:val="00B979E7"/>
    <w:rsid w:val="00CA42EF"/>
    <w:rsid w:val="00D002F4"/>
    <w:rsid w:val="00DC03D0"/>
    <w:rsid w:val="00DD5D97"/>
    <w:rsid w:val="00DE57F6"/>
    <w:rsid w:val="00E42B41"/>
    <w:rsid w:val="00E72406"/>
    <w:rsid w:val="00EF6AEC"/>
    <w:rsid w:val="00F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489"/>
    <w:rPr>
      <w:sz w:val="24"/>
      <w:szCs w:val="24"/>
    </w:rPr>
  </w:style>
  <w:style w:type="paragraph" w:styleId="Heading1">
    <w:name w:val="heading 1"/>
    <w:basedOn w:val="Normal"/>
    <w:next w:val="Normal"/>
    <w:qFormat/>
    <w:rsid w:val="002D7489"/>
    <w:pPr>
      <w:keepNext/>
      <w:autoSpaceDE w:val="0"/>
      <w:autoSpaceDN w:val="0"/>
      <w:adjustRightInd w:val="0"/>
      <w:jc w:val="center"/>
      <w:outlineLvl w:val="0"/>
    </w:pPr>
    <w:rPr>
      <w:rFonts w:ascii="Monotype Corsiva" w:hAnsi="Monotype Corsiva"/>
      <w:b/>
      <w:bCs/>
      <w:sz w:val="50"/>
      <w:szCs w:val="17"/>
    </w:rPr>
  </w:style>
  <w:style w:type="paragraph" w:styleId="Heading2">
    <w:name w:val="heading 2"/>
    <w:basedOn w:val="Normal"/>
    <w:next w:val="Normal"/>
    <w:qFormat/>
    <w:rsid w:val="002D7489"/>
    <w:pPr>
      <w:keepNext/>
      <w:jc w:val="center"/>
      <w:outlineLvl w:val="1"/>
    </w:pPr>
    <w:rPr>
      <w:rFonts w:ascii="Garamond" w:hAnsi="Garamond"/>
      <w:b/>
      <w:bCs/>
      <w:sz w:val="2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7489"/>
    <w:pPr>
      <w:autoSpaceDE w:val="0"/>
      <w:autoSpaceDN w:val="0"/>
      <w:adjustRightInd w:val="0"/>
      <w:jc w:val="center"/>
    </w:pPr>
    <w:rPr>
      <w:rFonts w:ascii="Garamond" w:hAnsi="Garamond"/>
      <w:sz w:val="36"/>
      <w:szCs w:val="17"/>
    </w:rPr>
  </w:style>
  <w:style w:type="paragraph" w:styleId="Subtitle">
    <w:name w:val="Subtitle"/>
    <w:basedOn w:val="Normal"/>
    <w:qFormat/>
    <w:rsid w:val="002D7489"/>
    <w:pPr>
      <w:autoSpaceDE w:val="0"/>
      <w:autoSpaceDN w:val="0"/>
      <w:adjustRightInd w:val="0"/>
      <w:spacing w:line="300" w:lineRule="exact"/>
      <w:jc w:val="center"/>
    </w:pPr>
    <w:rPr>
      <w:rFonts w:ascii="Garamond" w:hAnsi="Garamond"/>
      <w:sz w:val="36"/>
      <w:szCs w:val="17"/>
    </w:rPr>
  </w:style>
  <w:style w:type="paragraph" w:styleId="BalloonText">
    <w:name w:val="Balloon Text"/>
    <w:basedOn w:val="Normal"/>
    <w:semiHidden/>
    <w:rsid w:val="002D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and Trademark Depository Library Association</vt:lpstr>
    </vt:vector>
  </TitlesOfParts>
  <Company>Texas A&amp;M University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and Trademark Depository Library Association</dc:title>
  <dc:creator>bcarpent</dc:creator>
  <cp:lastModifiedBy>scistaff</cp:lastModifiedBy>
  <cp:revision>2</cp:revision>
  <cp:lastPrinted>2004-07-09T21:28:00Z</cp:lastPrinted>
  <dcterms:created xsi:type="dcterms:W3CDTF">2011-04-28T15:18:00Z</dcterms:created>
  <dcterms:modified xsi:type="dcterms:W3CDTF">2011-04-28T15:18:00Z</dcterms:modified>
</cp:coreProperties>
</file>